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3D38E1" w:rsidP="001E159E">
      <w:pPr>
        <w:spacing w:after="180"/>
        <w:rPr>
          <w:b/>
          <w:sz w:val="44"/>
          <w:szCs w:val="44"/>
        </w:rPr>
      </w:pPr>
      <w:r>
        <w:rPr>
          <w:b/>
          <w:sz w:val="44"/>
          <w:szCs w:val="44"/>
        </w:rPr>
        <w:t>Block float</w:t>
      </w:r>
    </w:p>
    <w:p w:rsidR="001E159E" w:rsidRDefault="001E159E" w:rsidP="001E159E">
      <w:pPr>
        <w:spacing w:after="180"/>
      </w:pPr>
    </w:p>
    <w:p w:rsidR="003D38E1" w:rsidRPr="003D38E1" w:rsidRDefault="003D38E1" w:rsidP="003D38E1">
      <w:pPr>
        <w:spacing w:line="276" w:lineRule="auto"/>
      </w:pPr>
      <w:r w:rsidRPr="003D38E1">
        <w:rPr>
          <w:lang w:val="en-US"/>
        </w:rPr>
        <w:t>All of these blocks have the same mass.</w:t>
      </w:r>
    </w:p>
    <w:p w:rsidR="003D38E1" w:rsidRDefault="003D38E1" w:rsidP="003D38E1">
      <w:pPr>
        <w:spacing w:line="276" w:lineRule="auto"/>
        <w:rPr>
          <w:lang w:val="en-US"/>
        </w:rPr>
      </w:pPr>
      <w:r>
        <w:rPr>
          <w:lang w:val="en-US"/>
        </w:rPr>
        <w:t>They all</w:t>
      </w:r>
      <w:r w:rsidRPr="003D38E1">
        <w:rPr>
          <w:lang w:val="en-US"/>
        </w:rPr>
        <w:t xml:space="preserve"> float in water.</w:t>
      </w:r>
    </w:p>
    <w:p w:rsidR="003D38E1" w:rsidRPr="003D38E1" w:rsidRDefault="00D669FC" w:rsidP="003D38E1">
      <w:pPr>
        <w:spacing w:line="276" w:lineRule="auto"/>
      </w:pPr>
      <w:r>
        <w:rPr>
          <w:noProof/>
          <w:szCs w:val="18"/>
          <w:lang w:eastAsia="en-GB"/>
        </w:rPr>
        <w:drawing>
          <wp:anchor distT="0" distB="0" distL="114300" distR="114300" simplePos="0" relativeHeight="251658240" behindDoc="0" locked="0" layoutInCell="1" allowOverlap="1">
            <wp:simplePos x="0" y="0"/>
            <wp:positionH relativeFrom="column">
              <wp:posOffset>1433830</wp:posOffset>
            </wp:positionH>
            <wp:positionV relativeFrom="paragraph">
              <wp:posOffset>18415</wp:posOffset>
            </wp:positionV>
            <wp:extent cx="3047365" cy="14185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7365" cy="1418590"/>
                    </a:xfrm>
                    <a:prstGeom prst="rect">
                      <a:avLst/>
                    </a:prstGeom>
                    <a:noFill/>
                  </pic:spPr>
                </pic:pic>
              </a:graphicData>
            </a:graphic>
          </wp:anchor>
        </w:drawing>
      </w:r>
    </w:p>
    <w:p w:rsidR="001E159E" w:rsidRDefault="001E159E" w:rsidP="003D38E1">
      <w:pPr>
        <w:spacing w:after="240"/>
        <w:jc w:val="center"/>
        <w:rPr>
          <w:szCs w:val="18"/>
        </w:rPr>
      </w:pPr>
    </w:p>
    <w:p w:rsidR="003D38E1" w:rsidRDefault="003D38E1" w:rsidP="003D38E1">
      <w:pPr>
        <w:spacing w:line="276" w:lineRule="auto"/>
        <w:rPr>
          <w:szCs w:val="18"/>
          <w:lang w:val="en-US"/>
        </w:rPr>
      </w:pPr>
    </w:p>
    <w:p w:rsidR="00D669FC" w:rsidRDefault="00D669FC" w:rsidP="003D38E1">
      <w:pPr>
        <w:spacing w:line="276" w:lineRule="auto"/>
        <w:rPr>
          <w:szCs w:val="18"/>
          <w:lang w:val="en-US"/>
        </w:rPr>
      </w:pPr>
    </w:p>
    <w:p w:rsidR="00D669FC" w:rsidRDefault="00D669FC" w:rsidP="003D38E1">
      <w:pPr>
        <w:spacing w:line="276" w:lineRule="auto"/>
        <w:rPr>
          <w:szCs w:val="18"/>
          <w:lang w:val="en-US"/>
        </w:rPr>
      </w:pPr>
    </w:p>
    <w:p w:rsidR="00D669FC" w:rsidRDefault="00D669FC" w:rsidP="003D38E1">
      <w:pPr>
        <w:spacing w:line="276" w:lineRule="auto"/>
        <w:rPr>
          <w:szCs w:val="18"/>
          <w:lang w:val="en-US"/>
        </w:rPr>
      </w:pPr>
    </w:p>
    <w:p w:rsidR="00D669FC" w:rsidRDefault="00D669FC" w:rsidP="003D38E1">
      <w:pPr>
        <w:spacing w:line="276" w:lineRule="auto"/>
        <w:rPr>
          <w:szCs w:val="18"/>
          <w:lang w:val="en-US"/>
        </w:rPr>
      </w:pPr>
    </w:p>
    <w:p w:rsidR="00D669FC" w:rsidRDefault="00D669FC" w:rsidP="003D38E1">
      <w:pPr>
        <w:spacing w:line="276" w:lineRule="auto"/>
        <w:rPr>
          <w:szCs w:val="18"/>
          <w:lang w:val="en-US"/>
        </w:rPr>
      </w:pPr>
    </w:p>
    <w:p w:rsidR="003D38E1" w:rsidRPr="003D38E1" w:rsidRDefault="003D38E1" w:rsidP="003D38E1">
      <w:pPr>
        <w:spacing w:line="276" w:lineRule="auto"/>
        <w:rPr>
          <w:szCs w:val="18"/>
        </w:rPr>
      </w:pPr>
      <w:r w:rsidRPr="003D38E1">
        <w:rPr>
          <w:szCs w:val="18"/>
          <w:lang w:val="en-US"/>
        </w:rPr>
        <w:t>All the blocks are floating in water.</w:t>
      </w:r>
    </w:p>
    <w:p w:rsidR="001E159E" w:rsidRPr="003D38E1" w:rsidRDefault="001E159E" w:rsidP="003D38E1">
      <w:pPr>
        <w:spacing w:line="276" w:lineRule="auto"/>
        <w:rPr>
          <w:i/>
        </w:rPr>
      </w:pPr>
      <w:r w:rsidRPr="003D38E1">
        <w:rPr>
          <w:i/>
        </w:rPr>
        <w:t>For each statement, tick (</w:t>
      </w:r>
      <w:r w:rsidRPr="003D38E1">
        <w:rPr>
          <w:i/>
        </w:rPr>
        <w:sym w:font="Wingdings" w:char="F0FC"/>
      </w:r>
      <w:r w:rsidRPr="003D38E1">
        <w:rPr>
          <w:i/>
        </w:rPr>
        <w:t xml:space="preserve">) </w:t>
      </w:r>
      <w:r w:rsidRPr="003D38E1">
        <w:rPr>
          <w:b/>
          <w:i/>
        </w:rPr>
        <w:t>one</w:t>
      </w:r>
      <w:r w:rsidRPr="003D38E1">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3D38E1" w:rsidRDefault="003D38E1" w:rsidP="00677EDD">
            <w:pPr>
              <w:tabs>
                <w:tab w:val="right" w:leader="dot" w:pos="8680"/>
              </w:tabs>
              <w:rPr>
                <w:rFonts w:eastAsia="Times New Roman" w:cs="Times New Roman"/>
                <w:lang w:eastAsia="en-GB"/>
              </w:rPr>
            </w:pPr>
            <w:r w:rsidRPr="003D38E1">
              <w:rPr>
                <w:rFonts w:eastAsia="Times New Roman" w:cs="Times New Roman"/>
                <w:lang w:eastAsia="en-GB"/>
              </w:rPr>
              <w:t>The plastic block has the biggest density.</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3D38E1" w:rsidRDefault="003D38E1" w:rsidP="00677EDD">
            <w:pPr>
              <w:tabs>
                <w:tab w:val="right" w:leader="dot" w:pos="8680"/>
              </w:tabs>
              <w:rPr>
                <w:rFonts w:eastAsia="Times New Roman" w:cs="Times New Roman"/>
                <w:lang w:eastAsia="en-GB"/>
              </w:rPr>
            </w:pPr>
            <w:r w:rsidRPr="003D38E1">
              <w:rPr>
                <w:rFonts w:eastAsia="Times New Roman" w:cs="Times New Roman"/>
                <w:lang w:eastAsia="en-GB"/>
              </w:rPr>
              <w:t>Water pushes up on each block with the same sized force.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3D38E1" w:rsidRDefault="003D38E1" w:rsidP="00677EDD">
            <w:pPr>
              <w:tabs>
                <w:tab w:val="right" w:leader="dot" w:pos="8680"/>
              </w:tabs>
              <w:rPr>
                <w:rFonts w:eastAsia="Times New Roman" w:cs="Times New Roman"/>
                <w:lang w:eastAsia="en-GB"/>
              </w:rPr>
            </w:pPr>
            <w:r w:rsidRPr="003D38E1">
              <w:rPr>
                <w:rFonts w:eastAsia="Times New Roman" w:cs="Times New Roman"/>
                <w:lang w:eastAsia="en-GB"/>
              </w:rPr>
              <w:t>The blocks float like they are shown here:-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D669FC" w:rsidRDefault="00D669FC" w:rsidP="006F3279">
      <w:pPr>
        <w:spacing w:after="240"/>
        <w:rPr>
          <w:szCs w:val="18"/>
        </w:rPr>
      </w:pPr>
    </w:p>
    <w:p w:rsidR="00201AC2" w:rsidRDefault="00D669FC" w:rsidP="006F3279">
      <w:pPr>
        <w:spacing w:after="240"/>
        <w:rPr>
          <w:szCs w:val="18"/>
        </w:rPr>
      </w:pPr>
      <w:r>
        <w:rPr>
          <w:noProof/>
          <w:szCs w:val="18"/>
          <w:lang w:eastAsia="en-GB"/>
        </w:rPr>
        <w:drawing>
          <wp:inline distT="0" distB="0" distL="0" distR="0">
            <wp:extent cx="6041390" cy="1536065"/>
            <wp:effectExtent l="0" t="0" r="0" b="698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1390" cy="1536065"/>
                    </a:xfrm>
                    <a:prstGeom prst="rect">
                      <a:avLst/>
                    </a:prstGeom>
                    <a:noFill/>
                  </pic:spPr>
                </pic:pic>
              </a:graphicData>
            </a:graphic>
          </wp:inline>
        </w:drawing>
      </w:r>
    </w:p>
    <w:p w:rsidR="00D669FC" w:rsidRPr="00201AC2" w:rsidRDefault="00D669FC"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385543" w:rsidRPr="006F3279" w:rsidRDefault="00385543" w:rsidP="0038554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D096A" w:rsidP="006F3279">
            <w:pPr>
              <w:spacing w:after="60"/>
              <w:ind w:left="1304"/>
              <w:rPr>
                <w:b/>
                <w:sz w:val="40"/>
                <w:szCs w:val="40"/>
              </w:rPr>
            </w:pPr>
            <w:r>
              <w:rPr>
                <w:b/>
                <w:sz w:val="40"/>
                <w:szCs w:val="40"/>
              </w:rPr>
              <w:t>Block float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385543" w:rsidP="0007651D">
            <w:pPr>
              <w:spacing w:before="60" w:after="60"/>
            </w:pPr>
            <w:r w:rsidRPr="00385543">
              <w:t>An object that is surrounded by a fluid (liquid and/or gas) floats if its overall density is less than the density of the fluid.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85543" w:rsidP="0007651D">
            <w:pPr>
              <w:spacing w:before="60" w:after="60"/>
              <w:rPr>
                <w:b/>
              </w:rPr>
            </w:pPr>
            <w:r w:rsidRPr="00385543">
              <w:t>Explain how the density of an object determines how well it floats.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535269" w:rsidP="007B18B8">
            <w:pPr>
              <w:spacing w:before="60" w:after="60"/>
            </w:pPr>
            <w:r>
              <w:t xml:space="preserve">Diagnostic, </w:t>
            </w:r>
            <w:r w:rsidR="001E159E">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85543" w:rsidP="000505CA">
            <w:pPr>
              <w:spacing w:before="60" w:after="60"/>
            </w:pPr>
            <w:r w:rsidRPr="00385543">
              <w:t>Floating, mass, weight, volume, density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76B83" w:rsidRDefault="00C76B83" w:rsidP="00C76B83">
      <w:pPr>
        <w:spacing w:after="180"/>
      </w:pPr>
      <w:r>
        <w:rPr>
          <w:noProof/>
        </w:rPr>
        <w:t xml:space="preserve">Paik et al. </w:t>
      </w:r>
      <w:r>
        <w:rPr>
          <w:noProof/>
        </w:rPr>
        <w:fldChar w:fldCharType="begin"/>
      </w:r>
      <w:r>
        <w:rPr>
          <w:noProof/>
        </w:rP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rPr>
          <w:noProof/>
        </w:rPr>
        <w:fldChar w:fldCharType="separate"/>
      </w:r>
      <w:r>
        <w:rPr>
          <w:noProof/>
        </w:rPr>
        <w:t>(2017)</w:t>
      </w:r>
      <w:r>
        <w:rPr>
          <w:noProof/>
        </w:rP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Pr>
          <w:i/>
        </w:rPr>
        <w:t>heavy (or light) for 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04303A">
        <w:t>,</w:t>
      </w:r>
      <w:r>
        <w:t xml:space="preserve"> on the object.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3A68DB">
        <w:t xml:space="preserve"> (optional demonstration)</w:t>
      </w:r>
      <w:r w:rsidRPr="005B1739">
        <w:t>:</w:t>
      </w:r>
    </w:p>
    <w:p w:rsidR="00D04A0D" w:rsidRDefault="003A68DB" w:rsidP="00D04A0D">
      <w:pPr>
        <w:pStyle w:val="ListParagraph"/>
        <w:numPr>
          <w:ilvl w:val="0"/>
          <w:numId w:val="1"/>
        </w:numPr>
        <w:spacing w:after="180"/>
      </w:pPr>
      <w:r>
        <w:t>Glass trough of water</w:t>
      </w:r>
    </w:p>
    <w:p w:rsidR="003A68DB" w:rsidRDefault="003A68DB" w:rsidP="00D04A0D">
      <w:pPr>
        <w:pStyle w:val="ListParagraph"/>
        <w:numPr>
          <w:ilvl w:val="0"/>
          <w:numId w:val="1"/>
        </w:numPr>
        <w:spacing w:after="180"/>
      </w:pPr>
      <w:r>
        <w:t>Three blocks of equal mass, each with a different density.</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3A68DB" w:rsidP="00BF6C8A">
      <w:pPr>
        <w:spacing w:after="180"/>
      </w:pPr>
      <w:r>
        <w:t>Statements A and B are correct.</w:t>
      </w:r>
    </w:p>
    <w:p w:rsidR="003A68DB" w:rsidRDefault="003A68DB" w:rsidP="00BF6C8A">
      <w:pPr>
        <w:spacing w:after="180"/>
      </w:pPr>
      <w:r>
        <w:t>Statement C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D737B1" w:rsidP="00147779">
      <w:pPr>
        <w:pStyle w:val="ListParagraph"/>
        <w:numPr>
          <w:ilvl w:val="0"/>
          <w:numId w:val="5"/>
        </w:numPr>
        <w:spacing w:after="180"/>
        <w:ind w:left="714" w:hanging="357"/>
        <w:contextualSpacing w:val="0"/>
      </w:pPr>
      <w:r w:rsidRPr="00D737B1">
        <w:t xml:space="preserve">The plastic block </w:t>
      </w:r>
      <w:r>
        <w:t xml:space="preserve">has more mass </w:t>
      </w:r>
      <w:r w:rsidRPr="0004303A">
        <w:rPr>
          <w:i/>
        </w:rPr>
        <w:t>for its size</w:t>
      </w:r>
      <w:r>
        <w:t xml:space="preserve">, so it has a bigger density than the other blocks. Another way to think about this is that it has the same mass as the other blocks within a smaller volume. </w:t>
      </w:r>
    </w:p>
    <w:p w:rsidR="00D737B1" w:rsidRDefault="00D737B1" w:rsidP="00147779">
      <w:pPr>
        <w:pStyle w:val="ListParagraph"/>
        <w:numPr>
          <w:ilvl w:val="0"/>
          <w:numId w:val="5"/>
        </w:numPr>
        <w:spacing w:after="180"/>
        <w:ind w:left="714" w:hanging="357"/>
        <w:contextualSpacing w:val="0"/>
      </w:pPr>
      <w:r>
        <w:t>All of the blocks are floating because the resultant force acting on each one is zero. The upward force of the water is therefore equal in size, and opposite in direction to the weight of each block – and each block has the same weight. This means that water pushes up on each block with the same sized force.</w:t>
      </w:r>
    </w:p>
    <w:p w:rsidR="00D737B1" w:rsidRDefault="00D737B1" w:rsidP="00D737B1">
      <w:pPr>
        <w:pStyle w:val="ListParagraph"/>
        <w:numPr>
          <w:ilvl w:val="0"/>
          <w:numId w:val="5"/>
        </w:numPr>
        <w:spacing w:after="180"/>
      </w:pPr>
      <w:r>
        <w:t>The more water that each block pushes out of the way, the bigger the upwards force of the water on the block. For the water to push up equally on each block, the same amount of water must be pushed out of the way by each block. This means that they will float like this:-</w:t>
      </w:r>
    </w:p>
    <w:p w:rsidR="00D737B1" w:rsidRDefault="00A16237" w:rsidP="00D737B1">
      <w:pPr>
        <w:spacing w:after="180"/>
        <w:jc w:val="center"/>
      </w:pPr>
      <w:r>
        <w:rPr>
          <w:noProof/>
          <w:lang w:eastAsia="en-GB"/>
        </w:rPr>
        <w:drawing>
          <wp:inline distT="0" distB="0" distL="0" distR="0" wp14:anchorId="30C1F89E">
            <wp:extent cx="2553335" cy="1246054"/>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9166" cy="1258660"/>
                    </a:xfrm>
                    <a:prstGeom prst="rect">
                      <a:avLst/>
                    </a:prstGeom>
                    <a:noFill/>
                  </pic:spPr>
                </pic:pic>
              </a:graphicData>
            </a:graphic>
          </wp:inline>
        </w:drawing>
      </w:r>
    </w:p>
    <w:p w:rsidR="003545D5" w:rsidRDefault="00D737B1" w:rsidP="003545D5">
      <w:pPr>
        <w:spacing w:after="180"/>
        <w:ind w:left="709"/>
      </w:pPr>
      <w:r>
        <w:t xml:space="preserve">The </w:t>
      </w:r>
      <w:r w:rsidR="003545D5">
        <w:t>plastic block is smallest and needs to be lower down in the water, in order to push the same volume of water out of the way as the other blocks.</w:t>
      </w:r>
    </w:p>
    <w:p w:rsidR="00A01222" w:rsidRDefault="00A01222" w:rsidP="00A01222">
      <w:pPr>
        <w:spacing w:after="180"/>
      </w:pPr>
      <w:r w:rsidRPr="004F039C">
        <w:t xml:space="preserve">If students have </w:t>
      </w:r>
      <w:r w:rsidR="004B1C32">
        <w:t>misunderstanding</w:t>
      </w:r>
      <w:r w:rsidRPr="004F039C">
        <w:t xml:space="preserve">s about </w:t>
      </w:r>
      <w:r w:rsidR="00A16237">
        <w:t>how the density of an object determines how well it will float</w:t>
      </w:r>
      <w:r w:rsidRPr="004F039C">
        <w:t xml:space="preserve">, </w:t>
      </w:r>
      <w:r w:rsidR="00A16237">
        <w:t>i</w:t>
      </w:r>
      <w:r w:rsidR="00453CB0">
        <w:t>t can help to observe a demonstration of this question</w:t>
      </w:r>
      <w:r>
        <w:t>.</w:t>
      </w:r>
      <w:r w:rsidR="00453CB0">
        <w:t xml:space="preserve"> Careful questioning can elicit the understanding that the further into the water each block is pushed, the harder the water pushes back; and that a </w:t>
      </w:r>
      <w:r w:rsidR="0004303A">
        <w:t xml:space="preserve">larger block </w:t>
      </w:r>
      <w:r w:rsidR="00453CB0">
        <w:t>pushes water out of the way more quickly as it moves down. This can be experienced by pushing a block deeper than its floating depth and feeling the upwards push of the water</w:t>
      </w:r>
      <w:r w:rsidR="0004303A">
        <w:t>. T</w:t>
      </w:r>
      <w:r w:rsidR="00453CB0">
        <w:t xml:space="preserve">he forces felt with blocks of </w:t>
      </w:r>
      <w:r w:rsidR="0004303A">
        <w:t xml:space="preserve">the same mass, and of </w:t>
      </w:r>
      <w:r w:rsidR="00453CB0">
        <w:t>different densities</w:t>
      </w:r>
      <w:r w:rsidR="0004303A">
        <w:t>, can be compared</w:t>
      </w:r>
      <w:bookmarkStart w:id="0" w:name="_GoBack"/>
      <w:bookmarkEnd w:id="0"/>
      <w:r w:rsidR="00453CB0">
        <w:t xml:space="preserve">. </w:t>
      </w:r>
    </w:p>
    <w:p w:rsidR="00011255" w:rsidRPr="006E72D0" w:rsidRDefault="00011255" w:rsidP="00011255">
      <w:pPr>
        <w:spacing w:after="180"/>
      </w:pPr>
      <w:r w:rsidRPr="006E72D0">
        <w:t>The following BEST ‘response activit</w:t>
      </w:r>
      <w:r>
        <w:t>ies</w:t>
      </w:r>
      <w:r w:rsidRPr="006E72D0">
        <w:t xml:space="preserve">’ could </w:t>
      </w:r>
      <w:r>
        <w:t xml:space="preserve">also </w:t>
      </w:r>
      <w:r w:rsidRPr="006E72D0">
        <w:t>be used in follow-up to this diagnostic question:</w:t>
      </w:r>
    </w:p>
    <w:p w:rsidR="00011255" w:rsidRDefault="00011255" w:rsidP="00011255">
      <w:pPr>
        <w:pStyle w:val="ListParagraph"/>
        <w:numPr>
          <w:ilvl w:val="0"/>
          <w:numId w:val="1"/>
        </w:numPr>
        <w:spacing w:after="180"/>
      </w:pPr>
      <w:r w:rsidRPr="006E72D0">
        <w:t>Response activity: Buoyancy</w:t>
      </w:r>
    </w:p>
    <w:p w:rsidR="00011255" w:rsidRPr="006E72D0" w:rsidRDefault="00011255" w:rsidP="00011255">
      <w:pPr>
        <w:pStyle w:val="ListParagraph"/>
        <w:numPr>
          <w:ilvl w:val="0"/>
          <w:numId w:val="1"/>
        </w:numPr>
        <w:spacing w:after="180"/>
      </w:pPr>
      <w:r w:rsidRPr="006E72D0">
        <w:t xml:space="preserve">Response activity: </w:t>
      </w:r>
      <w:r w:rsidR="00463165">
        <w:t>Clay boat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A4C98">
        <w:t>.</w:t>
      </w:r>
    </w:p>
    <w:p w:rsidR="00CC78A5" w:rsidRDefault="00D278E8" w:rsidP="00E172C6">
      <w:pPr>
        <w:spacing w:after="180"/>
      </w:pPr>
      <w:r w:rsidRPr="0045323E">
        <w:t xml:space="preserve">Images: </w:t>
      </w:r>
      <w:r w:rsidR="007D536F">
        <w:t>Peter Fairhurst (UYSEG)</w:t>
      </w:r>
      <w:r w:rsidR="008A4C98">
        <w:t>.</w:t>
      </w:r>
    </w:p>
    <w:p w:rsidR="00C76B83" w:rsidRDefault="003117F6" w:rsidP="00E24309">
      <w:pPr>
        <w:spacing w:after="180"/>
        <w:rPr>
          <w:b/>
          <w:color w:val="5F497A" w:themeColor="accent4" w:themeShade="BF"/>
          <w:sz w:val="24"/>
        </w:rPr>
      </w:pPr>
      <w:r w:rsidRPr="002C79AE">
        <w:rPr>
          <w:b/>
          <w:color w:val="5F497A" w:themeColor="accent4" w:themeShade="BF"/>
          <w:sz w:val="24"/>
        </w:rPr>
        <w:t>References</w:t>
      </w:r>
    </w:p>
    <w:p w:rsidR="00C76B83" w:rsidRPr="00C76B83" w:rsidRDefault="00C76B83" w:rsidP="008A4C98">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76B83">
        <w:t xml:space="preserve">Paik, S.-H., et al. (2017). Developing a Four-level Learning Progression and Assessment for the Concept of Buoyancy. </w:t>
      </w:r>
      <w:r w:rsidRPr="00C76B83">
        <w:rPr>
          <w:i/>
        </w:rPr>
        <w:t>Eurasia journal of mathematics, science and technology education,</w:t>
      </w:r>
      <w:r w:rsidRPr="00C76B83">
        <w:t xml:space="preserve"> 13(8)</w:t>
      </w:r>
      <w:r w:rsidRPr="00C76B83">
        <w:rPr>
          <w:b/>
        </w:rPr>
        <w:t>,</w:t>
      </w:r>
      <w:r w:rsidRPr="00C76B83">
        <w:t xml:space="preserve"> 4965-4986.</w:t>
      </w:r>
    </w:p>
    <w:p w:rsidR="00B46FF9" w:rsidRDefault="00C76B83" w:rsidP="008A4C98">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8E1" w:rsidRDefault="003D38E1" w:rsidP="000B473B">
      <w:r>
        <w:separator/>
      </w:r>
    </w:p>
  </w:endnote>
  <w:endnote w:type="continuationSeparator" w:id="0">
    <w:p w:rsidR="003D38E1" w:rsidRDefault="003D38E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A292F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4303A">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8E1" w:rsidRDefault="003D38E1" w:rsidP="000B473B">
      <w:r>
        <w:separator/>
      </w:r>
    </w:p>
  </w:footnote>
  <w:footnote w:type="continuationSeparator" w:id="0">
    <w:p w:rsidR="003D38E1" w:rsidRDefault="003D38E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7A13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2733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A84CA9"/>
    <w:multiLevelType w:val="hybridMultilevel"/>
    <w:tmpl w:val="8846716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B947A6"/>
    <w:multiLevelType w:val="hybridMultilevel"/>
    <w:tmpl w:val="F78667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D38E1"/>
    <w:rsid w:val="00011255"/>
    <w:rsid w:val="00015578"/>
    <w:rsid w:val="00024731"/>
    <w:rsid w:val="00026DEC"/>
    <w:rsid w:val="0004303A"/>
    <w:rsid w:val="000505CA"/>
    <w:rsid w:val="0007651D"/>
    <w:rsid w:val="0009089A"/>
    <w:rsid w:val="000947E2"/>
    <w:rsid w:val="00095E04"/>
    <w:rsid w:val="000A0D12"/>
    <w:rsid w:val="000B473B"/>
    <w:rsid w:val="000D0E89"/>
    <w:rsid w:val="000E2689"/>
    <w:rsid w:val="00142613"/>
    <w:rsid w:val="00144DA7"/>
    <w:rsid w:val="00147779"/>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545D5"/>
    <w:rsid w:val="003752BE"/>
    <w:rsid w:val="00385543"/>
    <w:rsid w:val="003A346A"/>
    <w:rsid w:val="003A68DB"/>
    <w:rsid w:val="003B2917"/>
    <w:rsid w:val="003B541B"/>
    <w:rsid w:val="003D38E1"/>
    <w:rsid w:val="003E2B2F"/>
    <w:rsid w:val="003E6046"/>
    <w:rsid w:val="003F16F9"/>
    <w:rsid w:val="00430C1F"/>
    <w:rsid w:val="00442595"/>
    <w:rsid w:val="0045323E"/>
    <w:rsid w:val="00453CB0"/>
    <w:rsid w:val="00463165"/>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A4C98"/>
    <w:rsid w:val="008C7F34"/>
    <w:rsid w:val="008E580C"/>
    <w:rsid w:val="0090047A"/>
    <w:rsid w:val="00925026"/>
    <w:rsid w:val="00931264"/>
    <w:rsid w:val="00942A4B"/>
    <w:rsid w:val="00961D59"/>
    <w:rsid w:val="009B2D55"/>
    <w:rsid w:val="009C0343"/>
    <w:rsid w:val="009E0D11"/>
    <w:rsid w:val="009F2253"/>
    <w:rsid w:val="00A01222"/>
    <w:rsid w:val="00A16237"/>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096A"/>
    <w:rsid w:val="00BF0BBF"/>
    <w:rsid w:val="00BF6C8A"/>
    <w:rsid w:val="00C05571"/>
    <w:rsid w:val="00C246CE"/>
    <w:rsid w:val="00C54711"/>
    <w:rsid w:val="00C57FA2"/>
    <w:rsid w:val="00C76B83"/>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669FC"/>
    <w:rsid w:val="00D72FEF"/>
    <w:rsid w:val="00D737B1"/>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99E327"/>
  <w15:docId w15:val="{467EEC03-4A27-45C6-BC64-089D9152C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76B8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76B83"/>
    <w:rPr>
      <w:rFonts w:ascii="Calibri" w:hAnsi="Calibri" w:cs="Calibri"/>
      <w:noProof/>
      <w:lang w:val="en-US"/>
    </w:rPr>
  </w:style>
  <w:style w:type="paragraph" w:customStyle="1" w:styleId="EndNoteBibliography">
    <w:name w:val="EndNote Bibliography"/>
    <w:basedOn w:val="Normal"/>
    <w:link w:val="EndNoteBibliographyChar"/>
    <w:rsid w:val="00C76B83"/>
    <w:rPr>
      <w:rFonts w:ascii="Calibri" w:hAnsi="Calibri" w:cs="Calibri"/>
      <w:noProof/>
      <w:lang w:val="en-US"/>
    </w:rPr>
  </w:style>
  <w:style w:type="character" w:customStyle="1" w:styleId="EndNoteBibliographyChar">
    <w:name w:val="EndNote Bibliography Char"/>
    <w:basedOn w:val="DefaultParagraphFont"/>
    <w:link w:val="EndNoteBibliography"/>
    <w:rsid w:val="00C76B8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51451326">
      <w:bodyDiv w:val="1"/>
      <w:marLeft w:val="0"/>
      <w:marRight w:val="0"/>
      <w:marTop w:val="0"/>
      <w:marBottom w:val="0"/>
      <w:divBdr>
        <w:top w:val="none" w:sz="0" w:space="0" w:color="auto"/>
        <w:left w:val="none" w:sz="0" w:space="0" w:color="auto"/>
        <w:bottom w:val="none" w:sz="0" w:space="0" w:color="auto"/>
        <w:right w:val="none" w:sz="0" w:space="0" w:color="auto"/>
      </w:divBdr>
    </w:div>
    <w:div w:id="961959846">
      <w:bodyDiv w:val="1"/>
      <w:marLeft w:val="0"/>
      <w:marRight w:val="0"/>
      <w:marTop w:val="0"/>
      <w:marBottom w:val="0"/>
      <w:divBdr>
        <w:top w:val="none" w:sz="0" w:space="0" w:color="auto"/>
        <w:left w:val="none" w:sz="0" w:space="0" w:color="auto"/>
        <w:bottom w:val="none" w:sz="0" w:space="0" w:color="auto"/>
        <w:right w:val="none" w:sz="0" w:space="0" w:color="auto"/>
      </w:divBdr>
    </w:div>
    <w:div w:id="988825905">
      <w:bodyDiv w:val="1"/>
      <w:marLeft w:val="0"/>
      <w:marRight w:val="0"/>
      <w:marTop w:val="0"/>
      <w:marBottom w:val="0"/>
      <w:divBdr>
        <w:top w:val="none" w:sz="0" w:space="0" w:color="auto"/>
        <w:left w:val="none" w:sz="0" w:space="0" w:color="auto"/>
        <w:bottom w:val="none" w:sz="0" w:space="0" w:color="auto"/>
        <w:right w:val="none" w:sz="0" w:space="0" w:color="auto"/>
      </w:divBdr>
    </w:div>
    <w:div w:id="1413694944">
      <w:bodyDiv w:val="1"/>
      <w:marLeft w:val="0"/>
      <w:marRight w:val="0"/>
      <w:marTop w:val="0"/>
      <w:marBottom w:val="0"/>
      <w:divBdr>
        <w:top w:val="none" w:sz="0" w:space="0" w:color="auto"/>
        <w:left w:val="none" w:sz="0" w:space="0" w:color="auto"/>
        <w:bottom w:val="none" w:sz="0" w:space="0" w:color="auto"/>
        <w:right w:val="none" w:sz="0" w:space="0" w:color="auto"/>
      </w:divBdr>
    </w:div>
    <w:div w:id="1548180678">
      <w:bodyDiv w:val="1"/>
      <w:marLeft w:val="0"/>
      <w:marRight w:val="0"/>
      <w:marTop w:val="0"/>
      <w:marBottom w:val="0"/>
      <w:divBdr>
        <w:top w:val="none" w:sz="0" w:space="0" w:color="auto"/>
        <w:left w:val="none" w:sz="0" w:space="0" w:color="auto"/>
        <w:bottom w:val="none" w:sz="0" w:space="0" w:color="auto"/>
        <w:right w:val="none" w:sz="0" w:space="0" w:color="auto"/>
      </w:divBdr>
    </w:div>
    <w:div w:id="159084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63</TotalTime>
  <Pages>3</Pages>
  <Words>862</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2019-10-29T10:29:00Z</dcterms:created>
  <dcterms:modified xsi:type="dcterms:W3CDTF">2019-10-31T14:42:00Z</dcterms:modified>
</cp:coreProperties>
</file>